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9161" w14:textId="0EAB1E28" w:rsidR="000B2E61" w:rsidRPr="00617387" w:rsidRDefault="000277E0" w:rsidP="0050142B">
      <w:pPr>
        <w:jc w:val="center"/>
        <w:rPr>
          <w:rFonts w:ascii="Calibri" w:hAnsi="Calibri" w:cs="Calibri"/>
          <w:color w:val="215E99" w:themeColor="text2" w:themeTint="BF"/>
          <w:sz w:val="52"/>
          <w:szCs w:val="52"/>
        </w:rPr>
      </w:pPr>
      <w:r w:rsidRPr="00617387">
        <w:rPr>
          <w:rFonts w:ascii="Calibri" w:hAnsi="Calibri" w:cs="Calibri"/>
          <w:color w:val="215E99" w:themeColor="text2" w:themeTint="BF"/>
          <w:sz w:val="52"/>
          <w:szCs w:val="52"/>
        </w:rPr>
        <w:t>Senior Leadership Statement</w:t>
      </w:r>
    </w:p>
    <w:p w14:paraId="38A1EBBD" w14:textId="77777777" w:rsidR="000B2E61" w:rsidRPr="0050142B" w:rsidRDefault="000B2E61" w:rsidP="000B2E61">
      <w:pPr>
        <w:rPr>
          <w:rFonts w:ascii="Cambria" w:hAnsi="Cambria"/>
          <w:sz w:val="22"/>
          <w:szCs w:val="22"/>
        </w:rPr>
      </w:pPr>
      <w:r w:rsidRPr="0050142B">
        <w:rPr>
          <w:rFonts w:ascii="Cambria" w:hAnsi="Cambria"/>
          <w:sz w:val="22"/>
          <w:szCs w:val="22"/>
        </w:rPr>
        <w:t xml:space="preserve">At </w:t>
      </w:r>
      <w:r w:rsidRPr="009E4C7C">
        <w:rPr>
          <w:rFonts w:ascii="Cambria" w:hAnsi="Cambria"/>
          <w:sz w:val="22"/>
          <w:szCs w:val="22"/>
        </w:rPr>
        <w:t>Curlew Capital,</w:t>
      </w:r>
      <w:r w:rsidRPr="0050142B">
        <w:rPr>
          <w:rFonts w:ascii="Cambria" w:hAnsi="Cambria"/>
          <w:sz w:val="22"/>
          <w:szCs w:val="22"/>
        </w:rPr>
        <w:t xml:space="preserve"> responsible investment is not just a principle—it is the foundation of our business strategy. Our primary goal is to deliver long-term financial returns for our investors, </w:t>
      </w:r>
      <w:proofErr w:type="gramStart"/>
      <w:r w:rsidRPr="0050142B">
        <w:rPr>
          <w:rFonts w:ascii="Cambria" w:hAnsi="Cambria"/>
          <w:sz w:val="22"/>
          <w:szCs w:val="22"/>
        </w:rPr>
        <w:t>and by definition, this</w:t>
      </w:r>
      <w:proofErr w:type="gramEnd"/>
      <w:r w:rsidRPr="0050142B">
        <w:rPr>
          <w:rFonts w:ascii="Cambria" w:hAnsi="Cambria"/>
          <w:sz w:val="22"/>
          <w:szCs w:val="22"/>
        </w:rPr>
        <w:t xml:space="preserve"> requires a sustainable approach to investment. We believe that </w:t>
      </w:r>
      <w:r w:rsidRPr="009E4C7C">
        <w:rPr>
          <w:rFonts w:ascii="Cambria" w:hAnsi="Cambria"/>
          <w:sz w:val="22"/>
          <w:szCs w:val="22"/>
        </w:rPr>
        <w:t>Environmental, Social, and Governance (ESG)</w:t>
      </w:r>
      <w:r w:rsidRPr="0050142B">
        <w:rPr>
          <w:rFonts w:ascii="Cambria" w:hAnsi="Cambria"/>
          <w:sz w:val="22"/>
          <w:szCs w:val="22"/>
        </w:rPr>
        <w:t xml:space="preserve"> factors are integral to creating resilient portfolios and thriving communities. This is not only a compliance and financial imperative but also the right approach to take.</w:t>
      </w:r>
    </w:p>
    <w:p w14:paraId="36DD7FA9" w14:textId="0D29382A" w:rsidR="000B2E61" w:rsidRPr="0050142B" w:rsidRDefault="000B2E61" w:rsidP="000B2E61">
      <w:pPr>
        <w:rPr>
          <w:rFonts w:ascii="Cambria" w:hAnsi="Cambria"/>
          <w:sz w:val="22"/>
          <w:szCs w:val="22"/>
        </w:rPr>
      </w:pPr>
      <w:r w:rsidRPr="0050142B">
        <w:rPr>
          <w:rFonts w:ascii="Cambria" w:hAnsi="Cambria"/>
          <w:sz w:val="22"/>
          <w:szCs w:val="22"/>
        </w:rPr>
        <w:t xml:space="preserve">We recognise our responsibilities extend across our entire supply chain, stakeholders, and the local communities in which we invest. To uphold these responsibilities, ESG considerations are embedded in every facet of our operations—from acquisition and development to asset management and governance. Our </w:t>
      </w:r>
      <w:r w:rsidRPr="009E4C7C">
        <w:rPr>
          <w:rFonts w:ascii="Cambria" w:hAnsi="Cambria"/>
          <w:sz w:val="22"/>
          <w:szCs w:val="22"/>
        </w:rPr>
        <w:t>Sustainability</w:t>
      </w:r>
      <w:r w:rsidR="00B374F6" w:rsidRPr="009E4C7C">
        <w:rPr>
          <w:rFonts w:ascii="Cambria" w:hAnsi="Cambria"/>
          <w:sz w:val="22"/>
          <w:szCs w:val="22"/>
        </w:rPr>
        <w:t xml:space="preserve"> Committee</w:t>
      </w:r>
      <w:r w:rsidRPr="009E4C7C">
        <w:rPr>
          <w:rFonts w:ascii="Cambria" w:hAnsi="Cambria"/>
          <w:sz w:val="22"/>
          <w:szCs w:val="22"/>
        </w:rPr>
        <w:t>,</w:t>
      </w:r>
      <w:r w:rsidRPr="0050142B">
        <w:rPr>
          <w:rFonts w:ascii="Cambria" w:hAnsi="Cambria"/>
          <w:sz w:val="22"/>
          <w:szCs w:val="22"/>
        </w:rPr>
        <w:t xml:space="preserve"> reporting directly to the CEO, ensures that we maintain the highest standards and stay ahead of legislative changes, while fostering a culture of sustainability that reflects Curlew’s values.</w:t>
      </w:r>
    </w:p>
    <w:p w14:paraId="6A77539A" w14:textId="77777777" w:rsidR="000B2E61" w:rsidRPr="0050142B" w:rsidRDefault="000B2E61" w:rsidP="000B2E61">
      <w:pPr>
        <w:rPr>
          <w:rFonts w:ascii="Cambria" w:hAnsi="Cambria"/>
          <w:sz w:val="22"/>
          <w:szCs w:val="22"/>
        </w:rPr>
      </w:pPr>
      <w:r w:rsidRPr="0050142B">
        <w:rPr>
          <w:rFonts w:ascii="Cambria" w:hAnsi="Cambria"/>
          <w:sz w:val="22"/>
          <w:szCs w:val="22"/>
        </w:rPr>
        <w:t>Our commitments include:</w:t>
      </w:r>
    </w:p>
    <w:p w14:paraId="7ECF39A5" w14:textId="3C61763B" w:rsidR="000B2E61" w:rsidRPr="009E4C7C" w:rsidRDefault="000B2E61" w:rsidP="000B2E61">
      <w:pPr>
        <w:numPr>
          <w:ilvl w:val="0"/>
          <w:numId w:val="1"/>
        </w:numPr>
        <w:rPr>
          <w:rFonts w:ascii="Cambria" w:hAnsi="Cambria"/>
          <w:sz w:val="22"/>
          <w:szCs w:val="22"/>
        </w:rPr>
      </w:pPr>
      <w:r w:rsidRPr="00CB62C4">
        <w:rPr>
          <w:rFonts w:ascii="Cambria" w:hAnsi="Cambria"/>
          <w:b/>
          <w:bCs/>
          <w:color w:val="4C94D8" w:themeColor="text2" w:themeTint="80"/>
          <w:sz w:val="22"/>
          <w:szCs w:val="22"/>
        </w:rPr>
        <w:t>Global Standards</w:t>
      </w:r>
      <w:r w:rsidRPr="00CB62C4">
        <w:rPr>
          <w:rFonts w:ascii="Cambria" w:hAnsi="Cambria"/>
          <w:color w:val="4C94D8" w:themeColor="text2" w:themeTint="80"/>
          <w:sz w:val="22"/>
          <w:szCs w:val="22"/>
        </w:rPr>
        <w:t xml:space="preserve">: </w:t>
      </w:r>
      <w:r w:rsidRPr="0050142B">
        <w:rPr>
          <w:rFonts w:ascii="Cambria" w:hAnsi="Cambria"/>
          <w:sz w:val="22"/>
          <w:szCs w:val="22"/>
        </w:rPr>
        <w:t xml:space="preserve">We are signatories to </w:t>
      </w:r>
      <w:r w:rsidRPr="009E4C7C">
        <w:rPr>
          <w:rFonts w:ascii="Cambria" w:hAnsi="Cambria"/>
          <w:sz w:val="22"/>
          <w:szCs w:val="22"/>
        </w:rPr>
        <w:t>the UN Principles for Responsible Investment (PRI), aligning our practices with internationally recognised framework</w:t>
      </w:r>
      <w:r w:rsidR="001D54E5" w:rsidRPr="009E4C7C">
        <w:rPr>
          <w:rFonts w:ascii="Cambria" w:hAnsi="Cambria"/>
          <w:sz w:val="22"/>
          <w:szCs w:val="22"/>
        </w:rPr>
        <w:t>s</w:t>
      </w:r>
      <w:r w:rsidRPr="009E4C7C">
        <w:rPr>
          <w:rFonts w:ascii="Cambria" w:hAnsi="Cambria"/>
          <w:sz w:val="22"/>
          <w:szCs w:val="22"/>
        </w:rPr>
        <w:t>.</w:t>
      </w:r>
    </w:p>
    <w:p w14:paraId="6EE3750F" w14:textId="77777777" w:rsidR="000B2E61" w:rsidRPr="009E4C7C" w:rsidRDefault="000B2E61" w:rsidP="000B2E61">
      <w:pPr>
        <w:numPr>
          <w:ilvl w:val="0"/>
          <w:numId w:val="1"/>
        </w:numPr>
        <w:rPr>
          <w:rFonts w:ascii="Cambria" w:hAnsi="Cambria"/>
          <w:sz w:val="22"/>
          <w:szCs w:val="22"/>
        </w:rPr>
      </w:pPr>
      <w:r w:rsidRPr="00CB62C4">
        <w:rPr>
          <w:rFonts w:ascii="Cambria" w:hAnsi="Cambria"/>
          <w:b/>
          <w:bCs/>
          <w:color w:val="4C94D8" w:themeColor="text2" w:themeTint="80"/>
          <w:sz w:val="22"/>
          <w:szCs w:val="22"/>
        </w:rPr>
        <w:t>Climate Action</w:t>
      </w:r>
      <w:r w:rsidRPr="00CB62C4">
        <w:rPr>
          <w:rFonts w:ascii="Cambria" w:hAnsi="Cambria"/>
          <w:color w:val="4C94D8" w:themeColor="text2" w:themeTint="80"/>
          <w:sz w:val="22"/>
          <w:szCs w:val="22"/>
        </w:rPr>
        <w:t xml:space="preserve">: </w:t>
      </w:r>
      <w:r w:rsidRPr="0050142B">
        <w:rPr>
          <w:rFonts w:ascii="Cambria" w:hAnsi="Cambria"/>
          <w:sz w:val="22"/>
          <w:szCs w:val="22"/>
        </w:rPr>
        <w:t xml:space="preserve">We support </w:t>
      </w:r>
      <w:r w:rsidRPr="009E4C7C">
        <w:rPr>
          <w:rFonts w:ascii="Cambria" w:hAnsi="Cambria"/>
          <w:sz w:val="22"/>
          <w:szCs w:val="22"/>
        </w:rPr>
        <w:t>the Paris Agreement and use science-based targets (SBTi) to guide our decarbonisation strategy, aiming for Net Zero Carbon by 2030.</w:t>
      </w:r>
    </w:p>
    <w:p w14:paraId="270EC60C" w14:textId="59122CA9" w:rsidR="000B2E61" w:rsidRPr="0050142B" w:rsidRDefault="000B2E61" w:rsidP="000B2E61">
      <w:pPr>
        <w:numPr>
          <w:ilvl w:val="0"/>
          <w:numId w:val="1"/>
        </w:numPr>
        <w:rPr>
          <w:rFonts w:ascii="Cambria" w:hAnsi="Cambria"/>
          <w:sz w:val="22"/>
          <w:szCs w:val="22"/>
        </w:rPr>
      </w:pPr>
      <w:r w:rsidRPr="00CB62C4">
        <w:rPr>
          <w:rFonts w:ascii="Cambria" w:hAnsi="Cambria"/>
          <w:b/>
          <w:bCs/>
          <w:color w:val="4C94D8" w:themeColor="text2" w:themeTint="80"/>
          <w:sz w:val="22"/>
          <w:szCs w:val="22"/>
        </w:rPr>
        <w:t>Governance &amp; Risk Management</w:t>
      </w:r>
      <w:r w:rsidRPr="00CB62C4">
        <w:rPr>
          <w:rFonts w:ascii="Cambria" w:hAnsi="Cambria"/>
          <w:color w:val="4C94D8" w:themeColor="text2" w:themeTint="80"/>
          <w:sz w:val="22"/>
          <w:szCs w:val="22"/>
        </w:rPr>
        <w:t xml:space="preserve">: </w:t>
      </w:r>
      <w:r w:rsidRPr="0050142B">
        <w:rPr>
          <w:rFonts w:ascii="Cambria" w:hAnsi="Cambria"/>
          <w:sz w:val="22"/>
          <w:szCs w:val="22"/>
        </w:rPr>
        <w:t>Our ESG Risk Framework</w:t>
      </w:r>
      <w:r w:rsidR="00C572ED">
        <w:rPr>
          <w:rFonts w:ascii="Cambria" w:hAnsi="Cambria"/>
          <w:sz w:val="22"/>
          <w:szCs w:val="22"/>
        </w:rPr>
        <w:t xml:space="preserve"> and ESG Due Diligence</w:t>
      </w:r>
      <w:r w:rsidRPr="0050142B">
        <w:rPr>
          <w:rFonts w:ascii="Cambria" w:hAnsi="Cambria"/>
          <w:sz w:val="22"/>
          <w:szCs w:val="22"/>
        </w:rPr>
        <w:t xml:space="preserve"> identif</w:t>
      </w:r>
      <w:r w:rsidR="00C572ED">
        <w:rPr>
          <w:rFonts w:ascii="Cambria" w:hAnsi="Cambria"/>
          <w:sz w:val="22"/>
          <w:szCs w:val="22"/>
        </w:rPr>
        <w:t>y</w:t>
      </w:r>
      <w:r w:rsidRPr="0050142B">
        <w:rPr>
          <w:rFonts w:ascii="Cambria" w:hAnsi="Cambria"/>
          <w:sz w:val="22"/>
          <w:szCs w:val="22"/>
        </w:rPr>
        <w:t xml:space="preserve"> and mitigate potential impacts on our assets, employees, and tenants, supported by tools such as CRREM and WRI Aqueduct.</w:t>
      </w:r>
    </w:p>
    <w:p w14:paraId="7CD08F1A" w14:textId="77777777" w:rsidR="000B2E61" w:rsidRPr="0050142B" w:rsidRDefault="000B2E61" w:rsidP="000B2E61">
      <w:pPr>
        <w:numPr>
          <w:ilvl w:val="0"/>
          <w:numId w:val="1"/>
        </w:numPr>
        <w:rPr>
          <w:rFonts w:ascii="Cambria" w:hAnsi="Cambria"/>
          <w:sz w:val="22"/>
          <w:szCs w:val="22"/>
        </w:rPr>
      </w:pPr>
      <w:r w:rsidRPr="00CB62C4">
        <w:rPr>
          <w:rFonts w:ascii="Cambria" w:hAnsi="Cambria"/>
          <w:b/>
          <w:bCs/>
          <w:color w:val="4C94D8" w:themeColor="text2" w:themeTint="80"/>
          <w:sz w:val="22"/>
          <w:szCs w:val="22"/>
        </w:rPr>
        <w:t>Transparency &amp; Reporting</w:t>
      </w:r>
      <w:r w:rsidRPr="00CB62C4">
        <w:rPr>
          <w:rFonts w:ascii="Cambria" w:hAnsi="Cambria"/>
          <w:color w:val="4C94D8" w:themeColor="text2" w:themeTint="80"/>
          <w:sz w:val="22"/>
          <w:szCs w:val="22"/>
        </w:rPr>
        <w:t xml:space="preserve">: </w:t>
      </w:r>
      <w:r w:rsidRPr="0050142B">
        <w:rPr>
          <w:rFonts w:ascii="Cambria" w:hAnsi="Cambria"/>
          <w:sz w:val="22"/>
          <w:szCs w:val="22"/>
        </w:rPr>
        <w:t xml:space="preserve">We produce annual sustainability reports, conduct GHG inventories, and participate in global benchmarks </w:t>
      </w:r>
      <w:r w:rsidRPr="009E4C7C">
        <w:rPr>
          <w:rFonts w:ascii="Cambria" w:hAnsi="Cambria"/>
          <w:sz w:val="22"/>
          <w:szCs w:val="22"/>
        </w:rPr>
        <w:t>such as GRESB</w:t>
      </w:r>
      <w:r w:rsidRPr="0050142B">
        <w:rPr>
          <w:rFonts w:ascii="Cambria" w:hAnsi="Cambria"/>
          <w:sz w:val="22"/>
          <w:szCs w:val="22"/>
        </w:rPr>
        <w:t>, where our funds have achieved top-tier ratings.</w:t>
      </w:r>
    </w:p>
    <w:p w14:paraId="680EC2FE" w14:textId="77777777" w:rsidR="000B2E61" w:rsidRPr="0050142B" w:rsidRDefault="000B2E61" w:rsidP="000B2E61">
      <w:pPr>
        <w:rPr>
          <w:rFonts w:ascii="Cambria" w:hAnsi="Cambria"/>
          <w:sz w:val="22"/>
          <w:szCs w:val="22"/>
        </w:rPr>
      </w:pPr>
      <w:r w:rsidRPr="0050142B">
        <w:rPr>
          <w:rFonts w:ascii="Cambria" w:hAnsi="Cambria"/>
          <w:sz w:val="22"/>
          <w:szCs w:val="22"/>
        </w:rPr>
        <w:t>Responsible investment and sustainability are central to our mission because they create long-term value—not only for our investors but for society and the environment. By integrating ESG principles into our decision-making, we ensure that every investment contributes to a more sustainable future while delivering robust financial performance.</w:t>
      </w:r>
    </w:p>
    <w:p w14:paraId="07F3860D" w14:textId="77777777" w:rsidR="000B2E61" w:rsidRPr="0050142B" w:rsidRDefault="000B2E61">
      <w:pPr>
        <w:rPr>
          <w:rFonts w:ascii="Cambria" w:hAnsi="Cambria"/>
          <w:sz w:val="22"/>
          <w:szCs w:val="22"/>
        </w:rPr>
      </w:pPr>
    </w:p>
    <w:p w14:paraId="61044027" w14:textId="7C0FD6ED" w:rsidR="00F75E6C" w:rsidRPr="0050142B" w:rsidRDefault="001D54E5">
      <w:pPr>
        <w:rPr>
          <w:rFonts w:ascii="Cambria" w:hAnsi="Cambria"/>
          <w:sz w:val="22"/>
          <w:szCs w:val="22"/>
          <w:u w:val="single"/>
        </w:rPr>
      </w:pPr>
      <w:r w:rsidRPr="0050142B">
        <w:rPr>
          <w:rFonts w:ascii="Cambria" w:hAnsi="Cambria"/>
          <w:sz w:val="22"/>
          <w:szCs w:val="22"/>
        </w:rPr>
        <w:t>Signed:</w:t>
      </w:r>
      <w:r w:rsidR="00F75E6C" w:rsidRPr="0050142B">
        <w:rPr>
          <w:rFonts w:ascii="Cambria" w:hAnsi="Cambria"/>
          <w:sz w:val="22"/>
          <w:szCs w:val="22"/>
          <w:u w:val="single"/>
        </w:rPr>
        <w:t xml:space="preserve">       …………</w:t>
      </w:r>
      <w:r w:rsidR="00871148" w:rsidRPr="004C1A72">
        <w:rPr>
          <w:rFonts w:ascii="Rage Italic" w:hAnsi="Rage Italic"/>
          <w:sz w:val="40"/>
          <w:szCs w:val="40"/>
          <w:u w:val="single"/>
        </w:rPr>
        <w:t>Paul Oliver</w:t>
      </w:r>
      <w:r w:rsidR="00F75E6C" w:rsidRPr="0050142B">
        <w:rPr>
          <w:rFonts w:ascii="Cambria" w:hAnsi="Cambria"/>
          <w:sz w:val="22"/>
          <w:szCs w:val="22"/>
          <w:u w:val="single"/>
        </w:rPr>
        <w:t>…………………………………………………</w:t>
      </w:r>
    </w:p>
    <w:p w14:paraId="620367E0" w14:textId="77777777" w:rsidR="00F75E6C" w:rsidRPr="0050142B" w:rsidRDefault="00F75E6C">
      <w:pPr>
        <w:rPr>
          <w:rFonts w:ascii="Cambria" w:hAnsi="Cambria"/>
          <w:sz w:val="22"/>
          <w:szCs w:val="22"/>
        </w:rPr>
      </w:pPr>
    </w:p>
    <w:p w14:paraId="298408CE" w14:textId="1D1EE8C3" w:rsidR="00F75E6C" w:rsidRPr="0050142B" w:rsidRDefault="00F75E6C" w:rsidP="00BB1378">
      <w:pPr>
        <w:ind w:left="3600" w:firstLine="720"/>
        <w:rPr>
          <w:rFonts w:ascii="Cambria" w:hAnsi="Cambria"/>
          <w:sz w:val="22"/>
          <w:szCs w:val="22"/>
        </w:rPr>
      </w:pPr>
      <w:r w:rsidRPr="0050142B">
        <w:rPr>
          <w:rFonts w:ascii="Cambria" w:hAnsi="Cambria"/>
          <w:sz w:val="22"/>
          <w:szCs w:val="22"/>
        </w:rPr>
        <w:t>Paul Oliver, CEO.</w:t>
      </w:r>
    </w:p>
    <w:sectPr w:rsidR="00F75E6C" w:rsidRPr="005014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D840" w14:textId="77777777" w:rsidR="004B57EF" w:rsidRDefault="004B57EF" w:rsidP="00CF0811">
      <w:pPr>
        <w:spacing w:after="0" w:line="240" w:lineRule="auto"/>
      </w:pPr>
      <w:r>
        <w:separator/>
      </w:r>
    </w:p>
  </w:endnote>
  <w:endnote w:type="continuationSeparator" w:id="0">
    <w:p w14:paraId="719EDB85" w14:textId="77777777" w:rsidR="004B57EF" w:rsidRDefault="004B57EF" w:rsidP="00CF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6A6" w14:textId="77777777" w:rsidR="004B57EF" w:rsidRDefault="004B57EF" w:rsidP="00CF0811">
      <w:pPr>
        <w:spacing w:after="0" w:line="240" w:lineRule="auto"/>
      </w:pPr>
      <w:r>
        <w:separator/>
      </w:r>
    </w:p>
  </w:footnote>
  <w:footnote w:type="continuationSeparator" w:id="0">
    <w:p w14:paraId="6501C1EA" w14:textId="77777777" w:rsidR="004B57EF" w:rsidRDefault="004B57EF" w:rsidP="00CF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3075" w14:textId="0BCF78ED" w:rsidR="00CF0811" w:rsidRDefault="00CF0811">
    <w:pPr>
      <w:pStyle w:val="Header"/>
    </w:pPr>
    <w:r>
      <w:tab/>
    </w:r>
    <w:r>
      <w:rPr>
        <w:noProof/>
      </w:rPr>
      <w:drawing>
        <wp:inline distT="0" distB="0" distL="0" distR="0" wp14:anchorId="5FF14988" wp14:editId="7BC2C100">
          <wp:extent cx="1695450" cy="457200"/>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a:ln>
                    <a:noFill/>
                  </a:ln>
                </pic:spPr>
              </pic:pic>
            </a:graphicData>
          </a:graphic>
        </wp:inline>
      </w:drawing>
    </w:r>
  </w:p>
  <w:p w14:paraId="22E5C1AD" w14:textId="77777777" w:rsidR="00CF0811" w:rsidRDefault="00CF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E05A9"/>
    <w:multiLevelType w:val="multilevel"/>
    <w:tmpl w:val="9980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5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61"/>
    <w:rsid w:val="000277E0"/>
    <w:rsid w:val="000B2E61"/>
    <w:rsid w:val="001D54E5"/>
    <w:rsid w:val="00292E90"/>
    <w:rsid w:val="002A2FE8"/>
    <w:rsid w:val="00340DD3"/>
    <w:rsid w:val="003772F0"/>
    <w:rsid w:val="0041177A"/>
    <w:rsid w:val="004B57EF"/>
    <w:rsid w:val="004C1A72"/>
    <w:rsid w:val="0050142B"/>
    <w:rsid w:val="005074F4"/>
    <w:rsid w:val="00581B79"/>
    <w:rsid w:val="005F08DA"/>
    <w:rsid w:val="00617387"/>
    <w:rsid w:val="0066511F"/>
    <w:rsid w:val="008245C8"/>
    <w:rsid w:val="0085654D"/>
    <w:rsid w:val="00871148"/>
    <w:rsid w:val="00887FF1"/>
    <w:rsid w:val="009E4C7C"/>
    <w:rsid w:val="00A21D48"/>
    <w:rsid w:val="00AD7691"/>
    <w:rsid w:val="00B374F6"/>
    <w:rsid w:val="00BB1378"/>
    <w:rsid w:val="00C572ED"/>
    <w:rsid w:val="00CB62C4"/>
    <w:rsid w:val="00CF0811"/>
    <w:rsid w:val="00E55F1E"/>
    <w:rsid w:val="00E8122A"/>
    <w:rsid w:val="00F75E6C"/>
    <w:rsid w:val="00FE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789D"/>
  <w15:chartTrackingRefBased/>
  <w15:docId w15:val="{0918DC5E-7817-483F-8046-81FAD1E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E61"/>
    <w:rPr>
      <w:rFonts w:eastAsiaTheme="majorEastAsia" w:cstheme="majorBidi"/>
      <w:color w:val="272727" w:themeColor="text1" w:themeTint="D8"/>
    </w:rPr>
  </w:style>
  <w:style w:type="paragraph" w:styleId="Title">
    <w:name w:val="Title"/>
    <w:basedOn w:val="Normal"/>
    <w:next w:val="Normal"/>
    <w:link w:val="TitleChar"/>
    <w:uiPriority w:val="10"/>
    <w:qFormat/>
    <w:rsid w:val="000B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E61"/>
    <w:pPr>
      <w:spacing w:before="160"/>
      <w:jc w:val="center"/>
    </w:pPr>
    <w:rPr>
      <w:i/>
      <w:iCs/>
      <w:color w:val="404040" w:themeColor="text1" w:themeTint="BF"/>
    </w:rPr>
  </w:style>
  <w:style w:type="character" w:customStyle="1" w:styleId="QuoteChar">
    <w:name w:val="Quote Char"/>
    <w:basedOn w:val="DefaultParagraphFont"/>
    <w:link w:val="Quote"/>
    <w:uiPriority w:val="29"/>
    <w:rsid w:val="000B2E61"/>
    <w:rPr>
      <w:i/>
      <w:iCs/>
      <w:color w:val="404040" w:themeColor="text1" w:themeTint="BF"/>
    </w:rPr>
  </w:style>
  <w:style w:type="paragraph" w:styleId="ListParagraph">
    <w:name w:val="List Paragraph"/>
    <w:basedOn w:val="Normal"/>
    <w:uiPriority w:val="34"/>
    <w:qFormat/>
    <w:rsid w:val="000B2E61"/>
    <w:pPr>
      <w:ind w:left="720"/>
      <w:contextualSpacing/>
    </w:pPr>
  </w:style>
  <w:style w:type="character" w:styleId="IntenseEmphasis">
    <w:name w:val="Intense Emphasis"/>
    <w:basedOn w:val="DefaultParagraphFont"/>
    <w:uiPriority w:val="21"/>
    <w:qFormat/>
    <w:rsid w:val="000B2E61"/>
    <w:rPr>
      <w:i/>
      <w:iCs/>
      <w:color w:val="0F4761" w:themeColor="accent1" w:themeShade="BF"/>
    </w:rPr>
  </w:style>
  <w:style w:type="paragraph" w:styleId="IntenseQuote">
    <w:name w:val="Intense Quote"/>
    <w:basedOn w:val="Normal"/>
    <w:next w:val="Normal"/>
    <w:link w:val="IntenseQuoteChar"/>
    <w:uiPriority w:val="30"/>
    <w:qFormat/>
    <w:rsid w:val="000B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E61"/>
    <w:rPr>
      <w:i/>
      <w:iCs/>
      <w:color w:val="0F4761" w:themeColor="accent1" w:themeShade="BF"/>
    </w:rPr>
  </w:style>
  <w:style w:type="character" w:styleId="IntenseReference">
    <w:name w:val="Intense Reference"/>
    <w:basedOn w:val="DefaultParagraphFont"/>
    <w:uiPriority w:val="32"/>
    <w:qFormat/>
    <w:rsid w:val="000B2E61"/>
    <w:rPr>
      <w:b/>
      <w:bCs/>
      <w:smallCaps/>
      <w:color w:val="0F4761" w:themeColor="accent1" w:themeShade="BF"/>
      <w:spacing w:val="5"/>
    </w:rPr>
  </w:style>
  <w:style w:type="paragraph" w:styleId="Header">
    <w:name w:val="header"/>
    <w:basedOn w:val="Normal"/>
    <w:link w:val="HeaderChar"/>
    <w:uiPriority w:val="99"/>
    <w:unhideWhenUsed/>
    <w:rsid w:val="00CF0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811"/>
  </w:style>
  <w:style w:type="paragraph" w:styleId="Footer">
    <w:name w:val="footer"/>
    <w:basedOn w:val="Normal"/>
    <w:link w:val="FooterChar"/>
    <w:uiPriority w:val="99"/>
    <w:unhideWhenUsed/>
    <w:rsid w:val="00CF0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309</Words>
  <Characters>1891</Characters>
  <Application>Microsoft Office Word</Application>
  <DocSecurity>0</DocSecurity>
  <Lines>32</Lines>
  <Paragraphs>12</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Laarni Cornista-Samuelsson</dc:creator>
  <cp:keywords/>
  <dc:description/>
  <cp:lastModifiedBy>Laarni Cornista-Samuelsson</cp:lastModifiedBy>
  <cp:revision>23</cp:revision>
  <dcterms:created xsi:type="dcterms:W3CDTF">2025-11-04T12:45:00Z</dcterms:created>
  <dcterms:modified xsi:type="dcterms:W3CDTF">2025-11-28T11:17:00Z</dcterms:modified>
</cp:coreProperties>
</file>